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jc w:val="center"/>
      </w:pPr>
      <w:r>
        <w:drawing>
          <wp:inline xmlns:a="http://schemas.openxmlformats.org/drawingml/2006/main" xmlns:pic="http://schemas.openxmlformats.org/drawingml/2006/picture">
            <wp:extent cx="2377440" cy="2156877"/>
            <wp:docPr id="1" name="Picture 1"/>
            <wp:cNvGraphicFramePr>
              <a:graphicFrameLocks noChangeAspect="1"/>
            </wp:cNvGraphicFramePr>
            <a:graphic>
              <a:graphicData uri="http://schemas.openxmlformats.org/drawingml/2006/picture">
                <pic:pic>
                  <pic:nvPicPr>
                    <pic:cNvPr id="0" name="lt-orange-navy.png"/>
                    <pic:cNvPicPr/>
                  </pic:nvPicPr>
                  <pic:blipFill>
                    <a:blip r:embed="rId9"/>
                    <a:stretch>
                      <a:fillRect/>
                    </a:stretch>
                  </pic:blipFill>
                  <pic:spPr>
                    <a:xfrm>
                      <a:off x="0" y="0"/>
                      <a:ext cx="2377440" cy="2156877"/>
                    </a:xfrm>
                    <a:prstGeom prst="rect"/>
                  </pic:spPr>
                </pic:pic>
              </a:graphicData>
            </a:graphic>
          </wp:inline>
        </w:drawing>
      </w:r>
    </w:p>
    <w:p>
      <w:pPr>
        <w:pStyle w:val="Title"/>
        <w:jc w:val="center"/>
      </w:pPr>
      <w:r>
        <w:t>Fundraising and Fund Allocation Policy</w:t>
      </w:r>
    </w:p>
    <w:p>
      <w:pPr>
        <w:jc w:val="center"/>
      </w:pPr>
      <w:r>
        <w:rPr>
          <w:rFonts w:ascii="Aptos" w:hAnsi="Aptos"/>
          <w:b/>
          <w:i w:val="0"/>
          <w:color w:val="F28C28"/>
          <w:sz w:val="26"/>
        </w:rPr>
        <w:t>Addendum A to the Charter and Bylaws</w:t>
      </w:r>
    </w:p>
    <w:tbl>
      <w:tblPr>
        <w:tblW w:type="auto" w:w="0"/>
        <w:jc w:val="center"/>
        <w:tblLayout w:type="fixed"/>
        <w:tblLook w:firstColumn="1" w:firstRow="1" w:lastColumn="0" w:lastRow="0" w:noHBand="0" w:noVBand="1" w:val="04A0"/>
      </w:tblPr>
      <w:tblGrid>
        <w:gridCol w:w="8928"/>
      </w:tblGrid>
      <w:tr>
        <w:tc>
          <w:tcPr>
            <w:tcW w:type="dxa" w:w="9936"/>
            <w:shd w:fill="F3F6F9"/>
            <w:tcMar>
              <w:top w:w="160" w:type="dxa"/>
              <w:start w:w="180" w:type="dxa"/>
              <w:bottom w:w="160" w:type="dxa"/>
              <w:end w:w="180" w:type="dxa"/>
            </w:tcMar>
          </w:tcPr>
          <w:p>
            <w:pPr>
              <w:jc w:val="left"/>
            </w:pPr>
            <w:r>
              <w:rPr>
                <w:rFonts w:ascii="Aptos" w:hAnsi="Aptos"/>
                <w:b w:val="0"/>
                <w:i w:val="0"/>
                <w:color w:val="666666"/>
                <w:sz w:val="19"/>
              </w:rPr>
              <w:t>This policy governs fundraising conducted in the name of the Organization. It is maintained separately from the Charter so fundraising procedures can be reviewed and amended by the Board without reopening the Charter.</w:t>
            </w:r>
          </w:p>
        </w:tc>
      </w:tr>
    </w:tbl>
    <w:p>
      <w:pPr>
        <w:spacing w:after="80"/>
      </w:pPr>
    </w:p>
    <w:p>
      <w:pPr>
        <w:jc w:val="center"/>
      </w:pPr>
      <w:r>
        <w:rPr>
          <w:rFonts w:ascii="Aptos" w:hAnsi="Aptos"/>
          <w:b/>
          <w:i w:val="0"/>
          <w:color w:val="666666"/>
          <w:sz w:val="18"/>
        </w:rPr>
        <w:t>WORKING DRAFT FOR BOARD REVIEW</w:t>
      </w:r>
    </w:p>
    <w:p>
      <w:r>
        <w:br w:type="page"/>
      </w:r>
    </w:p>
    <w:p>
      <w:pPr>
        <w:pStyle w:val="Heading1"/>
      </w:pPr>
      <w:r>
        <w:t>Section 1. Purpose</w:t>
      </w:r>
    </w:p>
    <w:p>
      <w:r>
        <w:rPr>
          <w:rFonts w:ascii="Aptos" w:hAnsi="Aptos"/>
          <w:b w:val="0"/>
          <w:i w:val="0"/>
          <w:sz w:val="22"/>
        </w:rPr>
        <w:t>This Fundraising and Fund Allocation Policy establishes how funds raised under the name of Piedmont Odyssey of the Mind or the Organization are received, allocated, tracked, and used. All fundraising activities shall support the educational and competitive purposes of the Organization and shall be conducted in a manner that is fair, transparent, and consistent with its nonprofit purposes.</w:t>
      </w:r>
    </w:p>
    <w:p>
      <w:pPr>
        <w:pStyle w:val="Heading1"/>
      </w:pPr>
      <w:r>
        <w:t>Section 2. Board Authorization</w:t>
      </w:r>
    </w:p>
    <w:p>
      <w:r>
        <w:rPr>
          <w:rFonts w:ascii="Aptos" w:hAnsi="Aptos"/>
          <w:b w:val="0"/>
          <w:i w:val="0"/>
          <w:sz w:val="22"/>
        </w:rPr>
        <w:t>Fundraising conducted in the name of Piedmont Odyssey of the Mind or the Organization must be approved or recognized by the Board of Directors.</w:t>
      </w:r>
    </w:p>
    <w:p>
      <w:r>
        <w:rPr>
          <w:rFonts w:ascii="Aptos" w:hAnsi="Aptos"/>
          <w:b w:val="0"/>
          <w:i w:val="0"/>
          <w:sz w:val="22"/>
        </w:rPr>
        <w:t>The Board may establish fundraising activities for the Organization as a whole, all currently registered teams, a specific tournament or event, World Finals participation, team travel or prop transportation, registration or tournament expenses, equipment, supplies, facilities, or another specific purpose consistent with the mission of the Organization.</w:t>
      </w:r>
    </w:p>
    <w:p>
      <w:r>
        <w:rPr>
          <w:rFonts w:ascii="Aptos" w:hAnsi="Aptos"/>
          <w:b w:val="0"/>
          <w:i w:val="0"/>
          <w:sz w:val="22"/>
        </w:rPr>
        <w:t>The intended purpose and method of allocating proceeds should be established before a fundraising activity begins whenever reasonably possible.</w:t>
      </w:r>
    </w:p>
    <w:p>
      <w:pPr>
        <w:pStyle w:val="Heading1"/>
      </w:pPr>
      <w:r>
        <w:t>Section 3. Designated Fundraising</w:t>
      </w:r>
    </w:p>
    <w:p>
      <w:r>
        <w:rPr>
          <w:rFonts w:ascii="Aptos" w:hAnsi="Aptos"/>
          <w:b w:val="0"/>
          <w:i w:val="0"/>
          <w:sz w:val="22"/>
        </w:rPr>
        <w:t>When a fundraiser is organized for a stated purpose, proceeds from that fundraiser shall be used for that purpose. For example, a fundraiser designated as a World Finals fundraiser shall be used to support eligible expenses associated with World Finals participation.</w:t>
      </w:r>
    </w:p>
    <w:p>
      <w:r>
        <w:rPr>
          <w:rFonts w:ascii="Aptos" w:hAnsi="Aptos"/>
          <w:b w:val="0"/>
          <w:i w:val="0"/>
          <w:sz w:val="22"/>
        </w:rPr>
        <w:t>Funds designated for a particular purpose shall not ordinarily be transferred to an unrelated purpose except when the original purpose has been fully funded, is no longer applicable, has become impractical, or the Board determines reassignment is necessary and consistent with donor or fundraising representations. Any material reassignment of designated funds shall require Board approval.</w:t>
      </w:r>
    </w:p>
    <w:p>
      <w:pPr>
        <w:pStyle w:val="Heading1"/>
      </w:pPr>
      <w:r>
        <w:t>Section 4. Participation-Based Fundraising</w:t>
      </w:r>
    </w:p>
    <w:p>
      <w:r>
        <w:rPr>
          <w:rFonts w:ascii="Aptos" w:hAnsi="Aptos"/>
          <w:b w:val="0"/>
          <w:i w:val="0"/>
          <w:sz w:val="22"/>
        </w:rPr>
        <w:t>When proceeds from a fundraising event are intended to benefit participating students, only students who participate in that fundraising event shall receive an allocated share of the proceeds.</w:t>
      </w:r>
    </w:p>
    <w:p>
      <w:r>
        <w:rPr>
          <w:rFonts w:ascii="Aptos" w:hAnsi="Aptos"/>
          <w:b w:val="0"/>
          <w:i w:val="0"/>
          <w:sz w:val="22"/>
        </w:rPr>
        <w:t>Participation requirements should be communicated before the fundraiser whenever reasonably possible. Unless the Board establishes another allocation method before the event, distributable proceeds shall be divided equally among participating eligible students.</w:t>
      </w:r>
    </w:p>
    <w:p>
      <w:r>
        <w:rPr>
          <w:rFonts w:ascii="Aptos" w:hAnsi="Aptos"/>
          <w:b w:val="0"/>
          <w:i w:val="0"/>
          <w:sz w:val="22"/>
        </w:rPr>
        <w:t>A student who does not participate in the fundraising activity shall not receive a share of participation-based proceeds solely because the student is a member of a Piedmont Odyssey of the Mind team. The Board may establish reasonable standards defining participation, including attendance, work performed, scheduled shifts, or other responsibilities associated with the fundraiser.</w:t>
      </w:r>
    </w:p>
    <w:p>
      <w:pPr>
        <w:pStyle w:val="Heading1"/>
      </w:pPr>
      <w:r>
        <w:t>Section 5. Student Fundraising Allocations</w:t>
      </w:r>
    </w:p>
    <w:p>
      <w:r>
        <w:rPr>
          <w:rFonts w:ascii="Aptos" w:hAnsi="Aptos"/>
          <w:b w:val="0"/>
          <w:i w:val="0"/>
          <w:sz w:val="22"/>
        </w:rPr>
        <w:t>Any amount attributed to a student’s fundraising participation represents funds designated to support that student’s eligible Odyssey of the Mind expenses. It does not constitute personal income, wages, or property belonging to the student or the student’s family.</w:t>
      </w:r>
    </w:p>
    <w:p>
      <w:r>
        <w:rPr>
          <w:rFonts w:ascii="Aptos" w:hAnsi="Aptos"/>
          <w:b w:val="0"/>
          <w:i w:val="0"/>
          <w:sz w:val="22"/>
        </w:rPr>
        <w:t>Funds shall remain under the custody and control of the Organization until used for an approved organizational or program expense. Allocated funds may be applied toward tournament registration, World Finals registration, transportation, lodging, team or prop transportation, other approved travel expenses, required program or tournament expenses, or other expenses approved by the Board and consistent with the stated purpose of the fundraiser.</w:t>
      </w:r>
    </w:p>
    <w:p>
      <w:r>
        <w:rPr>
          <w:rFonts w:ascii="Aptos" w:hAnsi="Aptos"/>
          <w:b w:val="0"/>
          <w:i w:val="0"/>
          <w:sz w:val="22"/>
        </w:rPr>
        <w:t>Fundraising allocations shall not ordinarily be paid directly to a student or family as unrestricted cash.</w:t>
      </w:r>
    </w:p>
    <w:p>
      <w:pPr>
        <w:pStyle w:val="Heading1"/>
      </w:pPr>
      <w:r>
        <w:t>Section 6. Team-Based Fundraising</w:t>
      </w:r>
    </w:p>
    <w:p>
      <w:r>
        <w:rPr>
          <w:rFonts w:ascii="Aptos" w:hAnsi="Aptos"/>
          <w:b w:val="0"/>
          <w:i w:val="0"/>
          <w:sz w:val="22"/>
        </w:rPr>
        <w:t>The Board may authorize fundraising in which proceeds are allocated by team rather than by individual student. The allocation method for a team-based fundraiser shall be established before the fundraiser whenever reasonably possible. Team-designated funds remain funds of the Organization and shall be used for expenses that support the designated team or fundraising purpose.</w:t>
      </w:r>
    </w:p>
    <w:p>
      <w:pPr>
        <w:pStyle w:val="Heading1"/>
      </w:pPr>
      <w:r>
        <w:t>Section 7. Organization-Wide Sponsorships and Fundraising</w:t>
      </w:r>
    </w:p>
    <w:p>
      <w:r>
        <w:rPr>
          <w:rFonts w:ascii="Aptos" w:hAnsi="Aptos"/>
          <w:b w:val="0"/>
          <w:i w:val="0"/>
          <w:sz w:val="22"/>
        </w:rPr>
        <w:t>Fundraising or sponsorship activities promoted as supporting Piedmont Odyssey of the Mind as a whole shall ordinarily benefit all eligible teams rather than individual participating students. These proceeds may be deposited into the Organization’s general program funds and used for expenses benefiting the overall program.</w:t>
      </w:r>
    </w:p>
    <w:p>
      <w:pPr>
        <w:pStyle w:val="Heading1"/>
      </w:pPr>
      <w:r>
        <w:t>Section 8. Corporate Sponsorships</w:t>
      </w:r>
    </w:p>
    <w:p>
      <w:pPr/>
      <w:r>
        <w:t>Corporate or business sponsorships received from a business that is not family-owned shall be allocated for the benefit of either Piedmont Odyssey of the Mind as a whole or an entire designated team.</w:t>
      </w:r>
    </w:p>
    <w:p>
      <w:pPr/>
      <w:r>
        <w:t>Such sponsorships shall not ordinarily be allocated to, credited to, or reserved for the exclusive benefit of an individual student. If a sponsorship is designated for a specific team, the funds shall be used for eligible expenses benefiting that team as a whole.</w:t>
      </w:r>
    </w:p>
    <w:p>
      <w:pPr/>
      <w:r>
        <w:t>If a sponsorship is not designated for a specific team or purpose, the funds shall be treated as general organizational sponsorship funds and may be used for appropriate Piedmont Odyssey of the Mind activities and expenses as determined by the Board.</w:t>
      </w:r>
    </w:p>
    <w:p>
      <w:pPr/>
      <w:r>
        <w:t>The Board may approve an exception when financial hardship would otherwise prevent a student from participating in Odyssey of the Mind activities, tournaments, or other approved program opportunities. Any financial-hardship assistance shall be approved by the Board and administered in a manner appropriate to protect the privacy of the student and family.</w:t>
      </w:r>
    </w:p>
    <w:p>
      <w:pPr>
        <w:pStyle w:val="Heading1"/>
      </w:pPr>
      <w:r>
        <w:t>Section 9. Piedmont Odyssey Shirt Sponsorships</w:t>
      </w:r>
    </w:p>
    <w:p>
      <w:r>
        <w:rPr>
          <w:rFonts w:ascii="Aptos" w:hAnsi="Aptos"/>
          <w:b w:val="0"/>
          <w:i w:val="0"/>
          <w:sz w:val="22"/>
        </w:rPr>
        <w:t>Business and community sponsorships associated with official Piedmont Odyssey of the Mind shirts shall be considered organization-wide sponsorships unless the sponsorship arrangement expressly states otherwise.</w:t>
      </w:r>
    </w:p>
    <w:p>
      <w:r>
        <w:rPr>
          <w:rFonts w:ascii="Aptos" w:hAnsi="Aptos"/>
          <w:b w:val="0"/>
          <w:i w:val="0"/>
          <w:sz w:val="22"/>
        </w:rPr>
        <w:t>Net shirt sponsorship proceeds shall be allocated for the benefit of all currently eligible Piedmont Odyssey of the Mind teams and will ordinarily be used for shared or general program expenses, including transportation of props, sets, and equipment; trailers or transportation equipment; tournament-related transportation; registration or organizational expenses; shared equipment; program materials; or other costs benefiting multiple teams.</w:t>
      </w:r>
    </w:p>
    <w:p>
      <w:r>
        <w:rPr>
          <w:rFonts w:ascii="Aptos" w:hAnsi="Aptos"/>
          <w:b w:val="0"/>
          <w:i w:val="0"/>
          <w:sz w:val="22"/>
        </w:rPr>
        <w:t>The Board shall determine the specific use of shirt sponsorship funds based on the needs of the Organization.</w:t>
      </w:r>
    </w:p>
    <w:p>
      <w:pPr>
        <w:pStyle w:val="Heading1"/>
      </w:pPr>
      <w:r>
        <w:t>Section 10. Fundraising Expenses and Net Proceeds</w:t>
      </w:r>
    </w:p>
    <w:p>
      <w:r>
        <w:rPr>
          <w:rFonts w:ascii="Aptos" w:hAnsi="Aptos"/>
          <w:b w:val="0"/>
          <w:i w:val="0"/>
          <w:sz w:val="22"/>
        </w:rPr>
        <w:t>Unless otherwise determined before a fundraiser begins, reasonable direct costs of conducting the fundraiser shall first be deducted from gross receipts. The amount remaining after those expenses shall constitute the net fundraising proceeds available for allocation.</w:t>
      </w:r>
    </w:p>
    <w:p>
      <w:r>
        <w:rPr>
          <w:rFonts w:ascii="Aptos" w:hAnsi="Aptos"/>
          <w:b w:val="0"/>
          <w:i w:val="0"/>
          <w:sz w:val="22"/>
        </w:rPr>
        <w:t>Fundraising expenses may include supplies, merchandise, venue expenses, transaction fees, permits, advertising, or other costs directly associated with conducting the fundraiser.</w:t>
      </w:r>
    </w:p>
    <w:p>
      <w:pPr>
        <w:pStyle w:val="Heading1"/>
      </w:pPr>
      <w:r>
        <w:t>Section 11. Accounting and Tracking</w:t>
      </w:r>
    </w:p>
    <w:p>
      <w:r>
        <w:rPr>
          <w:rFonts w:ascii="Aptos" w:hAnsi="Aptos"/>
          <w:b w:val="0"/>
          <w:i w:val="0"/>
          <w:sz w:val="22"/>
        </w:rPr>
        <w:t>The Treasurer shall maintain records sufficient to identify gross proceeds received, direct fundraising expenses, net proceeds, the stated purpose of the fundraiser, participating students or teams when participation affects allocation, amounts allocated to students, teams, or general funds, and payments or expenses made from designated funds.</w:t>
      </w:r>
    </w:p>
    <w:p>
      <w:r>
        <w:rPr>
          <w:rFonts w:ascii="Aptos" w:hAnsi="Aptos"/>
          <w:b w:val="0"/>
          <w:i w:val="0"/>
          <w:sz w:val="22"/>
        </w:rPr>
        <w:t>Individual fundraising allocations may be tracked through internal accounting records but shall remain assets of the Organization. The Treasurer should provide families with reasonable information regarding available designated balances upon request.</w:t>
      </w:r>
    </w:p>
    <w:p>
      <w:pPr>
        <w:pStyle w:val="Heading1"/>
      </w:pPr>
      <w:r>
        <w:t>Section 12. Participation in the Following Season</w:t>
      </w:r>
    </w:p>
    <w:p>
      <w:r>
        <w:rPr>
          <w:rFonts w:ascii="Aptos" w:hAnsi="Aptos"/>
          <w:b w:val="0"/>
          <w:i w:val="0"/>
          <w:sz w:val="22"/>
        </w:rPr>
        <w:t>For purposes of this Policy, a student or team shall be considered to be participating in the following Odyssey of the Mind season when the student or team is officially registered with Piedmont Odyssey of the Mind by the registration deadline established by the Board for that season.</w:t>
      </w:r>
    </w:p>
    <w:p>
      <w:r>
        <w:rPr>
          <w:rFonts w:ascii="Aptos" w:hAnsi="Aptos"/>
          <w:b w:val="0"/>
          <w:i w:val="0"/>
          <w:sz w:val="22"/>
        </w:rPr>
        <w:t>The Board may make reasonable exceptions when registration is delayed because of team formation, coach availability, school scheduling, or other circumstances outside the control of the student or team. An expression of intent to participate, without registration or another affirmative determination by the Board, shall not by itself preserve individually designated funds.</w:t>
      </w:r>
    </w:p>
    <w:p>
      <w:pPr>
        <w:pStyle w:val="Heading1"/>
      </w:pPr>
      <w:r>
        <w:t>Section 13. Carryover of Student-Designated Funds</w:t>
      </w:r>
    </w:p>
    <w:p>
      <w:r>
        <w:rPr>
          <w:rFonts w:ascii="Aptos" w:hAnsi="Aptos"/>
          <w:b w:val="0"/>
          <w:i w:val="0"/>
          <w:sz w:val="22"/>
        </w:rPr>
        <w:t>Funds specifically designated or internally allocated to an individual student shall remain under the custody and control of the Organization and do not become the personal property of the student or the student’s family.</w:t>
      </w:r>
    </w:p>
    <w:p>
      <w:r>
        <w:rPr>
          <w:rFonts w:ascii="Aptos" w:hAnsi="Aptos"/>
          <w:b w:val="0"/>
          <w:i w:val="0"/>
          <w:sz w:val="22"/>
        </w:rPr>
        <w:t>If a student has unused designated funds at the conclusion of an Odyssey of the Mind season and participates in Piedmont Odyssey of the Mind during the following season, those funds may be carried forward for that student’s eligible Odyssey of the Mind expenses.</w:t>
      </w:r>
    </w:p>
    <w:p>
      <w:r>
        <w:rPr>
          <w:rFonts w:ascii="Aptos" w:hAnsi="Aptos"/>
          <w:b w:val="0"/>
          <w:i w:val="0"/>
          <w:sz w:val="22"/>
        </w:rPr>
        <w:t>If the student does not participate during the following season, the student’s remaining designated balance shall be transferred to the Organization’s general fund. Once transferred, the funds are no longer designated to the individual student and may be used for any normal Organization activity or expense consistent with the mission.</w:t>
      </w:r>
    </w:p>
    <w:p>
      <w:pPr>
        <w:pStyle w:val="Heading1"/>
      </w:pPr>
      <w:r>
        <w:t>Section 14. World Finals Funds Designated to a Team</w:t>
      </w:r>
    </w:p>
    <w:p>
      <w:r>
        <w:rPr>
          <w:rFonts w:ascii="Aptos" w:hAnsi="Aptos"/>
          <w:b w:val="0"/>
          <w:i w:val="0"/>
          <w:sz w:val="22"/>
        </w:rPr>
        <w:t>Funds raised or designated for a team’s participation in Odyssey of the Mind World Finals shall remain designated to that team until the funds are used for eligible World Finals expenses or the team ceases to participate in Piedmont Odyssey of the Mind.</w:t>
      </w:r>
    </w:p>
    <w:p>
      <w:r>
        <w:rPr>
          <w:rFonts w:ascii="Aptos" w:hAnsi="Aptos"/>
          <w:b w:val="0"/>
          <w:i w:val="0"/>
          <w:sz w:val="22"/>
        </w:rPr>
        <w:t>Failure to qualify for World Finals does not cause a team to lose its World Finals funds. World Finals funds may be carried forward and accumulated from one Odyssey of the Mind season to the next for as long as the team continues to participate through Piedmont Odyssey of the Mind. There shall be no requirement that a team qualify for World Finals within a particular number of years in order to retain its designated World Finals balance.</w:t>
      </w:r>
    </w:p>
    <w:p>
      <w:r>
        <w:rPr>
          <w:rFonts w:ascii="Aptos" w:hAnsi="Aptos"/>
          <w:b w:val="0"/>
          <w:i w:val="0"/>
          <w:sz w:val="22"/>
        </w:rPr>
        <w:t>For example, if a team has $100 in designated World Finals funds during one season but does not qualify, the $100 remains designated to that team. If the team participates again the following season and raises an additional $200 for World Finals, the team’s designated balance becomes $300. If the team again does not qualify, the full $300 remains designated to the team and may continue to carry forward into future seasons for as long as the team continues participating.</w:t>
      </w:r>
    </w:p>
    <w:p>
      <w:r>
        <w:rPr>
          <w:rFonts w:ascii="Aptos" w:hAnsi="Aptos"/>
          <w:b w:val="0"/>
          <w:i w:val="0"/>
          <w:sz w:val="22"/>
        </w:rPr>
        <w:t>When the team eventually qualifies for World Finals, its accumulated designated World Finals funds may be used for eligible World Finals expenses in accordance with this Policy.</w:t>
      </w:r>
    </w:p>
    <w:p>
      <w:pPr>
        <w:pStyle w:val="Heading1"/>
      </w:pPr>
      <w:r>
        <w:t>Section 15. Continuity of a Team</w:t>
      </w:r>
    </w:p>
    <w:p>
      <w:r>
        <w:rPr>
          <w:rFonts w:ascii="Aptos" w:hAnsi="Aptos"/>
          <w:b w:val="0"/>
          <w:i w:val="0"/>
          <w:sz w:val="22"/>
        </w:rPr>
        <w:t>A team does not need to have exactly the same student membership from one season to the next in order to be considered a continuing team. Normal changes in team membership due to graduation, student availability, division changes, family decisions, or the addition of new team members shall not automatically cause a team to lose its designated funds.</w:t>
      </w:r>
    </w:p>
    <w:p>
      <w:r>
        <w:rPr>
          <w:rFonts w:ascii="Aptos" w:hAnsi="Aptos"/>
          <w:b w:val="0"/>
          <w:i w:val="0"/>
          <w:sz w:val="22"/>
        </w:rPr>
        <w:t>The Board shall determine whether a team constitutes a continuation of the prior year’s team when necessary. In making that determination, the Board may consider returning team members, the team’s coach or coaching structure, grade or competition division, continuity of the team’s identity, circumstances surrounding changes in membership, and whether the team continues to participate through Piedmont Odyssey of the Mind.</w:t>
      </w:r>
    </w:p>
    <w:p>
      <w:r>
        <w:rPr>
          <w:rFonts w:ascii="Aptos" w:hAnsi="Aptos"/>
          <w:b w:val="0"/>
          <w:i w:val="0"/>
          <w:sz w:val="22"/>
        </w:rPr>
        <w:t>The purpose of this determination shall be to preserve funds for legitimately continuing teams while preventing designated accounts from remaining indefinitely assigned to teams that no longer exist.</w:t>
      </w:r>
    </w:p>
    <w:p>
      <w:pPr>
        <w:pStyle w:val="Heading1"/>
      </w:pPr>
      <w:r>
        <w:t>Section 16. When a Team Ceases to Participate</w:t>
      </w:r>
    </w:p>
    <w:p>
      <w:r>
        <w:rPr>
          <w:rFonts w:ascii="Aptos" w:hAnsi="Aptos"/>
          <w:b w:val="0"/>
          <w:i w:val="0"/>
          <w:sz w:val="22"/>
        </w:rPr>
        <w:t>If a team with designated funds ceases to participate in Piedmont Odyssey of the Mind, its remaining designated balance shall be transferred to the Organization’s general fund.</w:t>
      </w:r>
    </w:p>
    <w:p>
      <w:r>
        <w:rPr>
          <w:rFonts w:ascii="Aptos" w:hAnsi="Aptos"/>
          <w:b w:val="0"/>
          <w:i w:val="0"/>
          <w:sz w:val="22"/>
        </w:rPr>
        <w:t>A team shall ordinarily be considered to have ceased participation when it is not registered for an Odyssey of the Mind season and the Board determines that the team is no longer continuing. Once transferred to the general fund, those funds are no longer designated to the former team and may be used for any normal Piedmont Odyssey of the Mind activity or expense consistent with the mission of the Organization.</w:t>
      </w:r>
    </w:p>
    <w:p>
      <w:pPr>
        <w:pStyle w:val="Heading1"/>
      </w:pPr>
      <w:r>
        <w:t>Section 17. Use of Accumulated World Finals Funds</w:t>
      </w:r>
    </w:p>
    <w:p>
      <w:r>
        <w:rPr>
          <w:rFonts w:ascii="Aptos" w:hAnsi="Aptos"/>
          <w:b w:val="0"/>
          <w:i w:val="0"/>
          <w:sz w:val="22"/>
        </w:rPr>
        <w:t>Accumulated World Finals funds remain assets of the Organization and are restricted for the benefit of the designated team’s World Finals participation while that designation remains in effect.</w:t>
      </w:r>
    </w:p>
    <w:p>
      <w:r>
        <w:rPr>
          <w:rFonts w:ascii="Aptos" w:hAnsi="Aptos"/>
          <w:b w:val="0"/>
          <w:i w:val="0"/>
          <w:sz w:val="22"/>
        </w:rPr>
        <w:t>When a team qualifies for World Finals, the funds may be used for eligible expenses approved under this Policy. World Finals funds shall not be distributed to team members, parents, coaches, or families as unrestricted cash.</w:t>
      </w:r>
    </w:p>
    <w:p>
      <w:r>
        <w:t>If a qualifying team’s accumulated World Finals balance exceeds its eligible World Finals expenses, the unused balance shall remain designated to the team and may carry forward into future seasons for as long as the team continues participating in Piedmont Odyssey of the Mind. If the team later ceases to participate, the remaining balance shall be transferred to the Organization’s general fund in accordance with Section 16.</w:t>
      </w:r>
    </w:p>
    <w:p>
      <w:pPr>
        <w:pStyle w:val="Heading1"/>
      </w:pPr>
      <w:r>
        <w:t>Section 18. Financial Need and Special Circumstances</w:t>
      </w:r>
    </w:p>
    <w:p>
      <w:r>
        <w:rPr>
          <w:rFonts w:ascii="Aptos" w:hAnsi="Aptos"/>
          <w:b w:val="0"/>
          <w:i w:val="0"/>
          <w:sz w:val="22"/>
        </w:rPr>
        <w:t>The Board may authorize additional assistance to a student or team when financial hardship or unusual circumstances would otherwise prevent participation. Such assistance does not require equal distributions to every student or team when the Board determines that the expenditure advances the mission of the Organization.</w:t>
      </w:r>
    </w:p>
    <w:p>
      <w:r>
        <w:rPr>
          <w:rFonts w:ascii="Aptos" w:hAnsi="Aptos"/>
          <w:b w:val="0"/>
          <w:i w:val="0"/>
          <w:sz w:val="22"/>
        </w:rPr>
        <w:t>Directors shall disclose conflicts of interest and abstain when appropriate from decisions concerning financial assistance benefiting their own household.</w:t>
      </w:r>
    </w:p>
    <w:p>
      <w:pPr>
        <w:pStyle w:val="Heading1"/>
      </w:pPr>
      <w:r>
        <w:t>Section 19. Interpretation and Amendments</w:t>
      </w:r>
    </w:p>
    <w:p>
      <w:r>
        <w:rPr>
          <w:rFonts w:ascii="Aptos" w:hAnsi="Aptos"/>
          <w:b w:val="0"/>
          <w:i w:val="0"/>
          <w:sz w:val="22"/>
        </w:rPr>
        <w:t>Questions concerning the interpretation of this Policy shall be decided by the Board of Directors.</w:t>
      </w:r>
    </w:p>
    <w:p>
      <w:r>
        <w:rPr>
          <w:rFonts w:ascii="Aptos" w:hAnsi="Aptos"/>
          <w:b w:val="0"/>
          <w:i w:val="0"/>
          <w:sz w:val="22"/>
        </w:rPr>
        <w:t>The Board may amend this Fundraising and Fund Allocation Policy by majority vote, provided that no amendment shall retroactively alter the stated allocation of a completed fundraiser in a manner inconsistent with representations made to participants, sponsors, or donors.</w:t>
      </w:r>
    </w:p>
    <w:p>
      <w:r>
        <w:rPr>
          <w:rFonts w:ascii="Aptos" w:hAnsi="Aptos"/>
          <w:b w:val="0"/>
          <w:i w:val="0"/>
          <w:sz w:val="22"/>
        </w:rPr>
        <w:t>This Policy is incorporated by reference into the Charter and Bylaws of the Organization as Addendum A.</w:t>
      </w:r>
    </w:p>
    <w:p>
      <w:pPr>
        <w:pStyle w:val="Heading1"/>
      </w:pPr>
      <w:r>
        <w:t>Adoption of Addendum A</w:t>
      </w:r>
    </w:p>
    <w:p>
      <w:r>
        <w:rPr>
          <w:rFonts w:ascii="Aptos" w:hAnsi="Aptos"/>
          <w:b w:val="0"/>
          <w:i w:val="0"/>
          <w:sz w:val="22"/>
        </w:rPr>
        <w:t>This Fundraising and Fund Allocation Policy was adopted by the Board of Directors on __________________________.</w:t>
      </w:r>
    </w:p>
    <w:p>
      <w:pPr>
        <w:spacing w:after="160"/>
      </w:pPr>
      <w:r>
        <w:rPr>
          <w:rFonts w:ascii="Aptos" w:hAnsi="Aptos"/>
          <w:b w:val="0"/>
          <w:i w:val="0"/>
          <w:sz w:val="20"/>
        </w:rPr>
        <w:t>Director: ____________________________________    Date: __________________</w:t>
      </w:r>
    </w:p>
    <w:p>
      <w:pPr>
        <w:spacing w:after="160"/>
      </w:pPr>
      <w:r>
        <w:rPr>
          <w:rFonts w:ascii="Aptos" w:hAnsi="Aptos"/>
          <w:b w:val="0"/>
          <w:i w:val="0"/>
          <w:sz w:val="20"/>
        </w:rPr>
        <w:t>Director: ____________________________________    Date: __________________</w:t>
      </w:r>
    </w:p>
    <w:p>
      <w:pPr>
        <w:spacing w:after="160"/>
      </w:pPr>
      <w:r>
        <w:rPr>
          <w:rFonts w:ascii="Aptos" w:hAnsi="Aptos"/>
          <w:b w:val="0"/>
          <w:i w:val="0"/>
          <w:sz w:val="20"/>
        </w:rPr>
        <w:t>Director: ____________________________________    Date: __________________</w:t>
      </w:r>
    </w:p>
    <w:p>
      <w:pPr>
        <w:spacing w:after="160"/>
      </w:pPr>
      <w:r>
        <w:rPr>
          <w:rFonts w:ascii="Aptos" w:hAnsi="Aptos"/>
          <w:b w:val="0"/>
          <w:i w:val="0"/>
          <w:sz w:val="20"/>
        </w:rPr>
        <w:t>Director: ____________________________________    Date: __________________</w:t>
      </w:r>
    </w:p>
    <w:p>
      <w:pPr>
        <w:spacing w:after="160"/>
      </w:pPr>
      <w:r>
        <w:rPr>
          <w:rFonts w:ascii="Aptos" w:hAnsi="Aptos"/>
          <w:b w:val="0"/>
          <w:i w:val="0"/>
          <w:sz w:val="20"/>
        </w:rPr>
        <w:t>Director: ____________________________________    Date: __________________</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F28C28"/>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