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20"/>
        <w:jc w:val="center"/>
      </w:pPr>
      <w:r>
        <w:drawing>
          <wp:inline xmlns:a="http://schemas.openxmlformats.org/drawingml/2006/main" xmlns:pic="http://schemas.openxmlformats.org/drawingml/2006/picture">
            <wp:extent cx="2377440" cy="2156877"/>
            <wp:docPr id="1" name="Picture 1"/>
            <wp:cNvGraphicFramePr>
              <a:graphicFrameLocks noChangeAspect="1"/>
            </wp:cNvGraphicFramePr>
            <a:graphic>
              <a:graphicData uri="http://schemas.openxmlformats.org/drawingml/2006/picture">
                <pic:pic>
                  <pic:nvPicPr>
                    <pic:cNvPr id="0" name="lt-orange-navy.png"/>
                    <pic:cNvPicPr/>
                  </pic:nvPicPr>
                  <pic:blipFill>
                    <a:blip r:embed="rId9"/>
                    <a:stretch>
                      <a:fillRect/>
                    </a:stretch>
                  </pic:blipFill>
                  <pic:spPr>
                    <a:xfrm>
                      <a:off x="0" y="0"/>
                      <a:ext cx="2377440" cy="2156877"/>
                    </a:xfrm>
                    <a:prstGeom prst="rect"/>
                  </pic:spPr>
                </pic:pic>
              </a:graphicData>
            </a:graphic>
          </wp:inline>
        </w:drawing>
      </w:r>
    </w:p>
    <w:p>
      <w:pPr>
        <w:pStyle w:val="Title"/>
        <w:jc w:val="center"/>
      </w:pPr>
      <w:r>
        <w:t>Participation Fee Policy and Annual Fee Schedule</w:t>
      </w:r>
    </w:p>
    <w:p>
      <w:pPr>
        <w:jc w:val="center"/>
      </w:pPr>
      <w:r>
        <w:rPr>
          <w:rFonts w:ascii="Aptos" w:hAnsi="Aptos"/>
          <w:b/>
          <w:i w:val="0"/>
          <w:color w:val="F28C28"/>
          <w:sz w:val="26"/>
        </w:rPr>
        <w:t>Piedmont Odyssey of the Mind</w:t>
      </w:r>
    </w:p>
    <w:tbl>
      <w:tblPr>
        <w:tblW w:type="auto" w:w="0"/>
        <w:jc w:val="center"/>
        <w:tblLayout w:type="fixed"/>
        <w:tblLook w:firstColumn="1" w:firstRow="1" w:lastColumn="0" w:lastRow="0" w:noHBand="0" w:noVBand="1" w:val="04A0"/>
      </w:tblPr>
      <w:tblGrid>
        <w:gridCol w:w="8928"/>
      </w:tblGrid>
      <w:tr>
        <w:tc>
          <w:tcPr>
            <w:tcW w:type="dxa" w:w="9936"/>
            <w:shd w:fill="F3F6F9"/>
            <w:tcMar>
              <w:top w:w="160" w:type="dxa"/>
              <w:start w:w="180" w:type="dxa"/>
              <w:bottom w:w="160" w:type="dxa"/>
              <w:end w:w="180" w:type="dxa"/>
            </w:tcMar>
          </w:tcPr>
          <w:p>
            <w:pPr>
              <w:jc w:val="left"/>
            </w:pPr>
            <w:r>
              <w:rPr>
                <w:rFonts w:ascii="Aptos" w:hAnsi="Aptos"/>
                <w:b w:val="0"/>
                <w:i w:val="0"/>
                <w:color w:val="666666"/>
                <w:sz w:val="19"/>
              </w:rPr>
              <w:t>This is a standing Board policy. The policy rules remain in effect from year to year; the Board updates the Annual Fee Schedule as needed for each competition year without amending the Charter.</w:t>
            </w:r>
          </w:p>
        </w:tc>
      </w:tr>
    </w:tbl>
    <w:p>
      <w:pPr>
        <w:spacing w:after="80"/>
      </w:pPr>
    </w:p>
    <w:p>
      <w:pPr>
        <w:jc w:val="center"/>
      </w:pPr>
      <w:r>
        <w:rPr>
          <w:rFonts w:ascii="Aptos" w:hAnsi="Aptos"/>
          <w:b/>
          <w:i w:val="0"/>
          <w:color w:val="666666"/>
          <w:sz w:val="18"/>
        </w:rPr>
        <w:t>WORKING DRAFT FOR BOARD REVIEW</w:t>
      </w:r>
    </w:p>
    <w:p>
      <w:r>
        <w:br w:type="page"/>
      </w:r>
    </w:p>
    <w:p>
      <w:pPr>
        <w:pStyle w:val="Heading1"/>
      </w:pPr>
      <w:r>
        <w:t>Participation Fee Policy</w:t>
      </w:r>
    </w:p>
    <w:p>
      <w:pPr>
        <w:spacing w:after="80"/>
      </w:pPr>
      <w:r>
        <w:rPr>
          <w:rFonts w:ascii="Aptos" w:hAnsi="Aptos"/>
          <w:b w:val="0"/>
          <w:i w:val="0"/>
          <w:sz w:val="22"/>
        </w:rPr>
        <w:t>The Board of Directors may establish an annual student Participation Fee to support the direct costs associated with participation in Piedmont Odyssey of the Mind.</w:t>
      </w:r>
    </w:p>
    <w:p>
      <w:pPr>
        <w:spacing w:after="80"/>
      </w:pPr>
      <w:r>
        <w:rPr>
          <w:rFonts w:ascii="Aptos" w:hAnsi="Aptos"/>
          <w:b w:val="0"/>
          <w:i w:val="0"/>
          <w:sz w:val="22"/>
        </w:rPr>
        <w:t>Participation Fees exist solely to fund participating teams and shall be used only for the purposes established in this Policy and the applicable Annual Fee Schedule.</w:t>
      </w:r>
    </w:p>
    <w:p>
      <w:pPr>
        <w:spacing w:after="80"/>
      </w:pPr>
      <w:r>
        <w:rPr>
          <w:rFonts w:ascii="Aptos" w:hAnsi="Aptos"/>
          <w:b w:val="0"/>
          <w:i w:val="0"/>
          <w:sz w:val="22"/>
        </w:rPr>
        <w:t>Participation Fees may be used for:</w:t>
      </w:r>
    </w:p>
    <w:p>
      <w:pPr>
        <w:pStyle w:val="ListBullet"/>
        <w:spacing w:after="80"/>
      </w:pPr>
      <w:r>
        <w:rPr>
          <w:rFonts w:ascii="Aptos" w:hAnsi="Aptos"/>
          <w:b w:val="0"/>
          <w:i w:val="0"/>
          <w:sz w:val="22"/>
        </w:rPr>
        <w:t>Regional and State Odyssey of the Mind tournament registration fees; and</w:t>
      </w:r>
    </w:p>
    <w:p>
      <w:pPr>
        <w:pStyle w:val="ListBullet"/>
        <w:spacing w:after="80"/>
      </w:pPr>
      <w:r>
        <w:rPr>
          <w:rFonts w:ascii="Aptos" w:hAnsi="Aptos"/>
          <w:b w:val="0"/>
          <w:i w:val="0"/>
          <w:sz w:val="22"/>
        </w:rPr>
        <w:t>Supplies, materials, equipment, and other reasonable expenses necessary for teams to develop their Long-Term Problem solutions and practice Spontaneous Problems.</w:t>
      </w:r>
    </w:p>
    <w:p>
      <w:pPr>
        <w:spacing w:after="80"/>
      </w:pPr>
      <w:r>
        <w:rPr>
          <w:rFonts w:ascii="Aptos" w:hAnsi="Aptos"/>
          <w:b w:val="0"/>
          <w:i w:val="0"/>
          <w:sz w:val="22"/>
        </w:rPr>
        <w:t>Piedmont Odyssey of the Mind shall register participating teams for applicable Regional and State tournaments and shall pay the associated registration fees from the portion of Participation Fees allocated for that purpose.</w:t>
      </w:r>
    </w:p>
    <w:p>
      <w:pPr>
        <w:spacing w:after="80"/>
      </w:pPr>
      <w:r>
        <w:rPr>
          <w:rFonts w:ascii="Aptos" w:hAnsi="Aptos"/>
          <w:b w:val="0"/>
          <w:i w:val="0"/>
          <w:sz w:val="22"/>
        </w:rPr>
        <w:t>Funds allocated for team supplies shall be provided to the team’s coach and shall be used only for legitimate Odyssey of the Mind team expenses, including Long-Term Problem materials and materials, equipment, or supplies used for Spontaneous Problem practice.</w:t>
      </w:r>
    </w:p>
    <w:p>
      <w:pPr>
        <w:spacing w:after="80"/>
      </w:pPr>
      <w:r>
        <w:rPr>
          <w:rFonts w:ascii="Aptos" w:hAnsi="Aptos"/>
          <w:b w:val="0"/>
          <w:i w:val="0"/>
          <w:sz w:val="22"/>
        </w:rPr>
        <w:t>The Organization shall derive no unrestricted revenue or profit from Participation Fees. Participation Fees are intended solely as a cost-recovery mechanism for participating teams, except for the specific withdrawal provision below.</w:t>
      </w:r>
    </w:p>
    <w:p>
      <w:pPr>
        <w:pStyle w:val="Heading1"/>
        <w:spacing w:after="80"/>
      </w:pPr>
      <w:r>
        <w:t>Team Withdrawal Prior to Tournament Registration</w:t>
      </w:r>
    </w:p>
    <w:p>
      <w:pPr>
        <w:spacing w:after="80"/>
      </w:pPr>
      <w:r>
        <w:rPr>
          <w:rFonts w:ascii="Aptos" w:hAnsi="Aptos"/>
          <w:b w:val="0"/>
          <w:i w:val="0"/>
          <w:sz w:val="22"/>
        </w:rPr>
        <w:t>If a team withdraws from participation before the Organization has completed or paid for the team’s applicable tournament registration, any remaining Participation Fee funds associated with that team shall be transferred to the Organization’s general operating fund.</w:t>
      </w:r>
    </w:p>
    <w:p>
      <w:pPr>
        <w:spacing w:after="80"/>
      </w:pPr>
      <w:r>
        <w:rPr>
          <w:rFonts w:ascii="Aptos" w:hAnsi="Aptos"/>
          <w:b w:val="0"/>
          <w:i w:val="0"/>
          <w:sz w:val="22"/>
        </w:rPr>
        <w:t>Funds transferred to the general operating fund under this provision may be used for any lawful and appropriate Organization purpose consistent with its mission and shall not be required to be refunded to students, families, or coaches.</w:t>
      </w:r>
    </w:p>
    <w:p>
      <w:pPr>
        <w:pStyle w:val="Heading1"/>
        <w:spacing w:after="80"/>
      </w:pPr>
      <w:r>
        <w:t>Annual Fee Schedule</w:t>
      </w:r>
    </w:p>
    <w:tbl>
      <w:tblPr>
        <w:tblStyle w:val="TableGrid"/>
        <w:tblW w:type="auto" w:w="0"/>
        <w:jc w:val="center"/>
        <w:tblLook w:firstColumn="1" w:firstRow="1" w:lastColumn="0" w:lastRow="0" w:noHBand="0" w:noVBand="1" w:val="04A0"/>
      </w:tblPr>
      <w:tblGrid>
        <w:gridCol w:w="1987"/>
        <w:gridCol w:w="1987"/>
        <w:gridCol w:w="1987"/>
        <w:gridCol w:w="1987"/>
        <w:gridCol w:w="1987"/>
      </w:tblGrid>
      <w:tr>
        <w:tc>
          <w:tcPr>
            <w:tcW w:type="dxa" w:w="1987"/>
            <w:shd w:fill="17365D"/>
            <w:tcMar>
              <w:top w:w="110" w:type="dxa"/>
              <w:start w:w="80" w:type="dxa"/>
              <w:bottom w:w="110" w:type="dxa"/>
              <w:end w:w="80" w:type="dxa"/>
            </w:tcMar>
          </w:tcPr>
          <w:p>
            <w:pPr>
              <w:jc w:val="center"/>
            </w:pPr>
            <w:r>
              <w:rPr>
                <w:rFonts w:ascii="Aptos" w:hAnsi="Aptos"/>
                <w:b/>
                <w:i w:val="0"/>
                <w:color w:val="FFFFFF"/>
                <w:sz w:val="17"/>
              </w:rPr>
              <w:t>Competition Year</w:t>
            </w:r>
          </w:p>
        </w:tc>
        <w:tc>
          <w:tcPr>
            <w:tcW w:type="dxa" w:w="1987"/>
            <w:shd w:fill="17365D"/>
            <w:tcMar>
              <w:top w:w="110" w:type="dxa"/>
              <w:start w:w="80" w:type="dxa"/>
              <w:bottom w:w="110" w:type="dxa"/>
              <w:end w:w="80" w:type="dxa"/>
            </w:tcMar>
          </w:tcPr>
          <w:p>
            <w:pPr>
              <w:jc w:val="center"/>
            </w:pPr>
            <w:r>
              <w:rPr>
                <w:rFonts w:ascii="Aptos" w:hAnsi="Aptos"/>
                <w:b/>
                <w:i w:val="0"/>
                <w:color w:val="FFFFFF"/>
                <w:sz w:val="17"/>
              </w:rPr>
              <w:t>Participation Fee</w:t>
            </w:r>
          </w:p>
        </w:tc>
        <w:tc>
          <w:tcPr>
            <w:tcW w:type="dxa" w:w="1987"/>
            <w:shd w:fill="17365D"/>
            <w:tcMar>
              <w:top w:w="110" w:type="dxa"/>
              <w:start w:w="80" w:type="dxa"/>
              <w:bottom w:w="110" w:type="dxa"/>
              <w:end w:w="80" w:type="dxa"/>
            </w:tcMar>
          </w:tcPr>
          <w:p>
            <w:pPr>
              <w:jc w:val="center"/>
            </w:pPr>
            <w:r>
              <w:rPr>
                <w:rFonts w:ascii="Aptos" w:hAnsi="Aptos"/>
                <w:b/>
                <w:i w:val="0"/>
                <w:color w:val="FFFFFF"/>
                <w:sz w:val="17"/>
              </w:rPr>
              <w:t>Tournament Registration</w:t>
            </w:r>
          </w:p>
        </w:tc>
        <w:tc>
          <w:tcPr>
            <w:tcW w:type="dxa" w:w="1987"/>
            <w:shd w:fill="17365D"/>
            <w:tcMar>
              <w:top w:w="110" w:type="dxa"/>
              <w:start w:w="80" w:type="dxa"/>
              <w:bottom w:w="110" w:type="dxa"/>
              <w:end w:w="80" w:type="dxa"/>
            </w:tcMar>
          </w:tcPr>
          <w:p>
            <w:pPr>
              <w:jc w:val="center"/>
            </w:pPr>
            <w:r>
              <w:rPr>
                <w:rFonts w:ascii="Aptos" w:hAnsi="Aptos"/>
                <w:b/>
                <w:i w:val="0"/>
                <w:color w:val="FFFFFF"/>
                <w:sz w:val="17"/>
              </w:rPr>
              <w:t>Team Supplies</w:t>
            </w:r>
          </w:p>
        </w:tc>
        <w:tc>
          <w:tcPr>
            <w:tcW w:type="dxa" w:w="1987"/>
            <w:shd w:fill="17365D"/>
            <w:tcMar>
              <w:top w:w="110" w:type="dxa"/>
              <w:start w:w="80" w:type="dxa"/>
              <w:bottom w:w="110" w:type="dxa"/>
              <w:end w:w="80" w:type="dxa"/>
            </w:tcMar>
          </w:tcPr>
          <w:p>
            <w:pPr>
              <w:jc w:val="center"/>
            </w:pPr>
            <w:r>
              <w:rPr>
                <w:rFonts w:ascii="Aptos" w:hAnsi="Aptos"/>
                <w:b/>
                <w:i w:val="0"/>
                <w:color w:val="FFFFFF"/>
                <w:sz w:val="17"/>
              </w:rPr>
              <w:t>Total Allocation</w:t>
            </w:r>
          </w:p>
        </w:tc>
      </w:tr>
      <w:tr>
        <w:tc>
          <w:tcPr>
            <w:tcW w:type="dxa" w:w="1987"/>
            <w:tcMar>
              <w:top w:w="150" w:type="dxa"/>
              <w:start w:w="80" w:type="dxa"/>
              <w:bottom w:w="150" w:type="dxa"/>
              <w:end w:w="80" w:type="dxa"/>
            </w:tcMar>
          </w:tcPr>
          <w:p>
            <w:pPr>
              <w:jc w:val="center"/>
            </w:pPr>
            <w:r>
              <w:rPr>
                <w:rFonts w:ascii="Aptos" w:hAnsi="Aptos"/>
                <w:b/>
                <w:i w:val="0"/>
                <w:sz w:val="19"/>
              </w:rPr>
              <w:t>2026-2027</w:t>
            </w:r>
          </w:p>
        </w:tc>
        <w:tc>
          <w:tcPr>
            <w:tcW w:type="dxa" w:w="1987"/>
            <w:tcMar>
              <w:top w:w="150" w:type="dxa"/>
              <w:start w:w="80" w:type="dxa"/>
              <w:bottom w:w="150" w:type="dxa"/>
              <w:end w:w="80" w:type="dxa"/>
            </w:tcMar>
          </w:tcPr>
          <w:p>
            <w:pPr>
              <w:jc w:val="center"/>
            </w:pPr>
            <w:r>
              <w:rPr>
                <w:rFonts w:ascii="Aptos" w:hAnsi="Aptos"/>
                <w:b/>
                <w:i w:val="0"/>
                <w:sz w:val="19"/>
              </w:rPr>
              <w:t>$50 per student</w:t>
            </w:r>
          </w:p>
        </w:tc>
        <w:tc>
          <w:tcPr>
            <w:tcW w:type="dxa" w:w="1987"/>
            <w:tcMar>
              <w:top w:w="150" w:type="dxa"/>
              <w:start w:w="80" w:type="dxa"/>
              <w:bottom w:w="150" w:type="dxa"/>
              <w:end w:w="80" w:type="dxa"/>
            </w:tcMar>
          </w:tcPr>
          <w:p>
            <w:pPr>
              <w:jc w:val="center"/>
            </w:pPr>
            <w:r>
              <w:rPr>
                <w:rFonts w:ascii="Aptos" w:hAnsi="Aptos"/>
                <w:b w:val="0"/>
                <w:i w:val="0"/>
                <w:sz w:val="19"/>
              </w:rPr>
              <w:t>$20 per student</w:t>
            </w:r>
          </w:p>
        </w:tc>
        <w:tc>
          <w:tcPr>
            <w:tcW w:type="dxa" w:w="1987"/>
            <w:tcMar>
              <w:top w:w="150" w:type="dxa"/>
              <w:start w:w="80" w:type="dxa"/>
              <w:bottom w:w="150" w:type="dxa"/>
              <w:end w:w="80" w:type="dxa"/>
            </w:tcMar>
          </w:tcPr>
          <w:p>
            <w:pPr>
              <w:jc w:val="center"/>
            </w:pPr>
            <w:r>
              <w:rPr>
                <w:rFonts w:ascii="Aptos" w:hAnsi="Aptos"/>
                <w:b w:val="0"/>
                <w:i w:val="0"/>
                <w:sz w:val="19"/>
              </w:rPr>
              <w:t>$30 per student</w:t>
            </w:r>
          </w:p>
        </w:tc>
        <w:tc>
          <w:tcPr>
            <w:tcW w:type="dxa" w:w="1987"/>
            <w:tcMar>
              <w:top w:w="150" w:type="dxa"/>
              <w:start w:w="80" w:type="dxa"/>
              <w:bottom w:w="150" w:type="dxa"/>
              <w:end w:w="80" w:type="dxa"/>
            </w:tcMar>
          </w:tcPr>
          <w:p>
            <w:pPr>
              <w:jc w:val="center"/>
            </w:pPr>
            <w:r>
              <w:rPr>
                <w:rFonts w:ascii="Aptos" w:hAnsi="Aptos"/>
                <w:b/>
                <w:i w:val="0"/>
                <w:sz w:val="19"/>
              </w:rPr>
              <w:t>$50 per student</w:t>
            </w:r>
          </w:p>
        </w:tc>
      </w:tr>
    </w:tbl>
    <w:p>
      <w:pPr>
        <w:pStyle w:val="Heading1"/>
        <w:spacing w:after="80"/>
      </w:pPr>
      <w:r>
        <w:t>Annual Review and Approval</w:t>
      </w:r>
    </w:p>
    <w:p>
      <w:pPr>
        <w:spacing w:after="80"/>
      </w:pPr>
      <w:r>
        <w:rPr>
          <w:rFonts w:ascii="Aptos" w:hAnsi="Aptos"/>
          <w:b w:val="0"/>
          <w:i w:val="0"/>
          <w:sz w:val="22"/>
        </w:rPr>
        <w:t>The Board of Directors shall review and approve the Participation Fee and its allocation for each Odyssey of the Mind competition year. The Board may add or revise rows in the Annual Fee Schedule without amending the Charter and Bylaws, provided the underlying Participation Fee Policy remains unchanged.</w:t>
      </w:r>
    </w:p>
    <w:p>
      <w:pPr>
        <w:spacing w:after="80"/>
      </w:pPr>
      <w:r>
        <w:rPr>
          <w:rFonts w:ascii="Aptos" w:hAnsi="Aptos"/>
          <w:b w:val="0"/>
          <w:i w:val="0"/>
          <w:sz w:val="22"/>
        </w:rPr>
        <w:t>Approved by the Board of Directors on: ______________________________</w:t>
      </w:r>
    </w:p>
    <w:p>
      <w:pPr>
        <w:spacing w:after="80"/>
      </w:pPr>
      <w:r>
        <w:rPr>
          <w:rFonts w:ascii="Aptos" w:hAnsi="Aptos"/>
          <w:b w:val="0"/>
          <w:i w:val="0"/>
          <w:sz w:val="22"/>
        </w:rPr>
        <w:t>Effective beginning with the competition year identified in the applicable Annual Fee Schedule.</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Aptos Display" w:hAnsi="Aptos Display"/>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ascii="Aptos Display" w:hAnsi="Aptos Display"/>
      <w:b/>
      <w:bCs/>
      <w:color w:val="F28C28"/>
      <w:sz w:val="24"/>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eastAsiaTheme="majorEastAsia" w:hAnsiTheme="majorHAnsi" w:cstheme="majorBidi" w:ascii="Aptos" w:hAnsi="Aptos"/>
      <w:b/>
      <w:bCs/>
      <w:color w:val="17365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